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2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529"/>
        <w:gridCol w:w="444"/>
        <w:gridCol w:w="1655"/>
        <w:gridCol w:w="1177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ĐỀ THI KẾT THÚC HỌC PHẦN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4" w:type="dxa"/>
            <w:gridSpan w:val="3"/>
          </w:tcPr>
          <w:p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XÂY DỰNG </w:t>
            </w:r>
          </w:p>
        </w:tc>
        <w:tc>
          <w:tcPr>
            <w:tcW w:w="1655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 1</w:t>
            </w:r>
          </w:p>
        </w:tc>
        <w:tc>
          <w:tcPr>
            <w:tcW w:w="1177" w:type="dxa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6"/>
            <w:vAlign w:val="center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>
              <w:rPr>
                <w:color w:val="FF0000"/>
                <w:sz w:val="24"/>
              </w:rPr>
              <w:t>DQX0120</w:t>
            </w:r>
            <w:r>
              <w:rPr>
                <w:spacing w:val="-4"/>
                <w:sz w:val="24"/>
              </w:rPr>
              <w:t xml:space="preserve">                                                                  </w:t>
            </w:r>
            <w:r>
              <w:rPr>
                <w:sz w:val="24"/>
              </w:rPr>
              <w:t xml:space="preserve">Tên học phần:   Thẩm định dự án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nhóm lớp HP: </w:t>
            </w:r>
          </w:p>
        </w:tc>
        <w:tc>
          <w:tcPr>
            <w:tcW w:w="8234" w:type="dxa"/>
            <w:gridSpan w:val="5"/>
            <w:vAlign w:val="center"/>
          </w:tcPr>
          <w:p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color w:val="FF0000"/>
                <w:sz w:val="24"/>
              </w:rPr>
              <w:t>211_DQX0120_01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 (phút)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pStyle w:val="3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</w:tcPr>
          <w:p>
            <w:pPr>
              <w:pStyle w:val="3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6"/>
          </w:tcPr>
          <w:p>
            <w:pPr>
              <w:pStyle w:val="3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>
            <w:pPr>
              <w:pStyle w:val="3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>
              <w:rPr>
                <w:rStyle w:val="16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Upload file bài làm (word, excel, pdf…);</w:t>
            </w:r>
          </w:p>
          <w:p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tabs>
          <w:tab w:val="left" w:pos="284"/>
          <w:tab w:val="right" w:leader="dot" w:pos="9072"/>
        </w:tabs>
        <w:spacing w:before="240"/>
        <w:ind w:left="270"/>
        <w:jc w:val="both"/>
      </w:pPr>
      <w:r>
        <w:rPr>
          <w:b/>
          <w:bCs/>
          <w:u w:val="single"/>
        </w:rPr>
        <w:t>Câu 1:</w:t>
      </w:r>
      <w:r>
        <w:t xml:space="preserve"> (2.50 điểm)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  <w:rPr>
          <w:bCs/>
          <w:lang w:val="pt-BR"/>
        </w:rPr>
      </w:pPr>
      <w:r>
        <w:rPr>
          <w:bCs/>
          <w:lang w:val="pt-BR"/>
        </w:rPr>
        <w:t>Bố cục của một báo cáo nghiên cứu khả thi bao gồm những nội dung cơ bản: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Giới thiệu chung </w:t>
      </w:r>
      <w:r>
        <w:rPr>
          <w:color w:val="FF0000"/>
        </w:rPr>
        <w:t>(0.25 điểm)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Cơ sở pháp lý &amp; Sự cần thiết phải đầu tư </w:t>
      </w:r>
      <w:r>
        <w:rPr>
          <w:color w:val="FF0000"/>
        </w:rPr>
        <w:t>(0.25 điểm)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Đặc điểm hiện trạng khu vực đặt dự án </w:t>
      </w:r>
      <w:r>
        <w:rPr>
          <w:color w:val="FF0000"/>
        </w:rPr>
        <w:t>(0.25 điểm)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Giải pháp quy hoạch, kiến trúc và hạ tầng kỹ thuật </w:t>
      </w:r>
      <w:r>
        <w:rPr>
          <w:color w:val="FF0000"/>
        </w:rPr>
        <w:t>(0.25 điểm)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Biện pháp bảo vệ môi trường </w:t>
      </w:r>
      <w:r>
        <w:rPr>
          <w:color w:val="FF0000"/>
        </w:rPr>
        <w:t>(0.25 điểm)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Phân tích hiệu quả kinh tế </w:t>
      </w:r>
      <w:r>
        <w:rPr>
          <w:color w:val="FF0000"/>
        </w:rPr>
        <w:t>(0.25 điểm)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Tiến độ thực hiện dự án và các cơ chế, chính sách khác áp dụng cho dự án </w:t>
      </w:r>
      <w:r>
        <w:rPr>
          <w:color w:val="FF0000"/>
        </w:rPr>
        <w:t>(0.25 điểm)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Phương thức quản lý, vận hành khai thác sử dụng sau đầu tư </w:t>
      </w:r>
      <w:r>
        <w:rPr>
          <w:color w:val="FF0000"/>
        </w:rPr>
        <w:t>(0.25 điểm)</w:t>
      </w:r>
    </w:p>
    <w:p>
      <w:pPr>
        <w:numPr>
          <w:ilvl w:val="0"/>
          <w:numId w:val="1"/>
        </w:numPr>
        <w:tabs>
          <w:tab w:val="left" w:pos="284"/>
          <w:tab w:val="right" w:leader="dot" w:pos="9072"/>
        </w:tabs>
        <w:spacing w:before="240"/>
        <w:jc w:val="both"/>
        <w:rPr>
          <w:bCs/>
        </w:rPr>
      </w:pPr>
      <w:r>
        <w:rPr>
          <w:bCs/>
        </w:rPr>
        <w:t xml:space="preserve">Kết luận &amp; Kiến nghi  </w:t>
      </w:r>
      <w:r>
        <w:rPr>
          <w:color w:val="FF0000"/>
        </w:rPr>
        <w:t>(0.25 điểm)</w:t>
      </w:r>
    </w:p>
    <w:p>
      <w:pPr>
        <w:tabs>
          <w:tab w:val="left" w:pos="284"/>
          <w:tab w:val="right" w:leader="dot" w:pos="9072"/>
        </w:tabs>
        <w:spacing w:before="240"/>
        <w:ind w:left="360"/>
        <w:jc w:val="both"/>
        <w:rPr>
          <w:bCs/>
        </w:rPr>
      </w:pPr>
      <w:r>
        <w:rPr>
          <w:bCs/>
          <w:lang w:val="pt-BR"/>
        </w:rPr>
        <w:t xml:space="preserve">Trong các nội dung đó nội dung nào được Chủ đầu tư quan tâm nhất đối với dự án thương mại:  </w:t>
      </w:r>
      <w:r>
        <w:rPr>
          <w:bCs/>
        </w:rPr>
        <w:t xml:space="preserve">Phân tích hiệu quả kinh tế </w:t>
      </w:r>
      <w:r>
        <w:rPr>
          <w:color w:val="FF0000"/>
        </w:rPr>
        <w:t>(0.25 điểm)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</w:pPr>
      <w:r>
        <w:rPr>
          <w:b/>
          <w:bCs/>
          <w:u w:val="single"/>
          <w:lang w:val="pt-BR"/>
        </w:rPr>
        <w:t>Câu 2:</w:t>
      </w:r>
      <w:r>
        <w:rPr>
          <w:bCs/>
          <w:lang w:val="pt-BR"/>
        </w:rPr>
        <w:t xml:space="preserve"> </w:t>
      </w:r>
      <w:r>
        <w:t xml:space="preserve">(7.50 điểm): </w:t>
      </w:r>
    </w:p>
    <w:tbl>
      <w:tblPr>
        <w:tblStyle w:val="5"/>
        <w:tblW w:w="109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76"/>
        <w:gridCol w:w="1140"/>
        <w:gridCol w:w="2730"/>
        <w:gridCol w:w="854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STT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Khoản mục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ĐVT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Giá trị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Điểm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Tính các diện tích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 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1.1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Diện tích khu đất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1,630.0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Mật độ xây dựng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40.0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Diện tích chiếm đất (=Diện tích xây dựng)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652.0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hệ số sử dụng đất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5.0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Tổng diện tích xây dựng (không kể hầm, mái)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8,150.0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1.2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Diện tích tầng hầm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1,467.0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1.3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Diện tích mái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652.0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1.4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Diện tích ở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4,890.0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 Hệ số sử dụng mặt bằng (K</w:t>
            </w:r>
            <w:r>
              <w:rPr>
                <w:rFonts w:ascii="Tahoma" w:hAnsi="Tahoma" w:cs="Tahoma"/>
                <w:sz w:val="24"/>
                <w:vertAlign w:val="subscript"/>
              </w:rPr>
              <w:t>0</w:t>
            </w:r>
            <w:r>
              <w:rPr>
                <w:rFonts w:ascii="Tahoma" w:hAnsi="Tahoma" w:cs="Tahoma"/>
                <w:sz w:val="24"/>
              </w:rPr>
              <w:t xml:space="preserve">), lấy với giá trị </w:t>
            </w:r>
            <w:r>
              <w:rPr>
                <w:rFonts w:ascii="Tahoma" w:hAnsi="Tahoma" w:cs="Tahoma"/>
                <w:b/>
                <w:bCs/>
                <w:sz w:val="24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1.5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Diện tích sử dụng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6,520.0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 Hệ số ở (K</w:t>
            </w:r>
            <w:r>
              <w:rPr>
                <w:rFonts w:ascii="Tahoma" w:hAnsi="Tahoma" w:cs="Tahoma"/>
                <w:sz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</w:rPr>
              <w:t xml:space="preserve">), lấy với giá trị </w:t>
            </w:r>
            <w:r>
              <w:rPr>
                <w:rFonts w:ascii="Tahoma" w:hAnsi="Tahoma" w:cs="Tahoma"/>
                <w:b/>
                <w:bCs/>
                <w:sz w:val="24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1.6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Diện tích cầu thang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815.0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 Hệ số cầu thang (K</w:t>
            </w:r>
            <w:r>
              <w:rPr>
                <w:rFonts w:ascii="Tahoma" w:hAnsi="Tahoma" w:cs="Tahoma"/>
                <w:sz w:val="24"/>
                <w:vertAlign w:val="subscript"/>
              </w:rPr>
              <w:t>4</w:t>
            </w:r>
            <w:r>
              <w:rPr>
                <w:rFonts w:ascii="Tahoma" w:hAnsi="Tahoma" w:cs="Tahoma"/>
                <w:sz w:val="24"/>
              </w:rPr>
              <w:t xml:space="preserve">), lấy với giá trị </w:t>
            </w:r>
            <w:r>
              <w:rPr>
                <w:rFonts w:ascii="Tahoma" w:hAnsi="Tahoma" w:cs="Tahoma"/>
                <w:b/>
                <w:bCs/>
                <w:sz w:val="24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1.7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Diện tích kết cấu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1,630.0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 Hệ số kết cấu (K</w:t>
            </w:r>
            <w:r>
              <w:rPr>
                <w:rFonts w:ascii="Tahoma" w:hAnsi="Tahoma" w:cs="Tahoma"/>
                <w:sz w:val="24"/>
                <w:vertAlign w:val="subscript"/>
              </w:rPr>
              <w:t>5</w:t>
            </w:r>
            <w:r>
              <w:rPr>
                <w:rFonts w:ascii="Tahoma" w:hAnsi="Tahoma" w:cs="Tahoma"/>
                <w:sz w:val="24"/>
              </w:rPr>
              <w:t xml:space="preserve">), lấy với giá trị </w:t>
            </w:r>
            <w:r>
              <w:rPr>
                <w:rFonts w:ascii="Tahoma" w:hAnsi="Tahoma" w:cs="Tahoma"/>
                <w:b/>
                <w:bCs/>
                <w:sz w:val="24"/>
              </w:rPr>
              <w:t>max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1.8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Số tầng cao (Kể cả tầng mái)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Tầng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14.0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i/>
                <w:iCs/>
                <w:sz w:val="24"/>
                <w:u w:val="single"/>
              </w:rPr>
            </w:pPr>
            <w:r>
              <w:rPr>
                <w:rFonts w:ascii="Tahoma" w:hAnsi="Tahoma" w:cs="Tahoma"/>
                <w:i/>
                <w:iCs/>
                <w:sz w:val="24"/>
                <w:u w:val="single"/>
              </w:rPr>
              <w:t>Tổng hợp diện tích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i/>
                <w:iCs/>
                <w:sz w:val="24"/>
              </w:rPr>
            </w:pPr>
            <w:r>
              <w:rPr>
                <w:rFonts w:ascii="Tahoma" w:hAnsi="Tahoma" w:cs="Tahoma"/>
                <w:i/>
                <w:iCs/>
                <w:sz w:val="24"/>
              </w:rPr>
              <w:t xml:space="preserve">- Tổng diện tích tầng hầm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i/>
                <w:iCs/>
                <w:sz w:val="24"/>
              </w:rPr>
            </w:pPr>
            <w:r>
              <w:rPr>
                <w:rFonts w:ascii="Tahoma" w:hAnsi="Tahoma" w:cs="Tahoma"/>
                <w:i/>
                <w:iCs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i/>
                <w:iCs/>
                <w:sz w:val="24"/>
              </w:rPr>
            </w:pPr>
            <w:r>
              <w:rPr>
                <w:rFonts w:ascii="Tahoma" w:hAnsi="Tahoma" w:cs="Tahoma"/>
                <w:i/>
                <w:iCs/>
                <w:sz w:val="24"/>
              </w:rPr>
              <w:t xml:space="preserve">                       1,467.0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i/>
                <w:iCs/>
                <w:sz w:val="24"/>
              </w:rPr>
            </w:pPr>
            <w:r>
              <w:rPr>
                <w:rFonts w:ascii="Tahoma" w:hAnsi="Tahoma" w:cs="Tahoma"/>
                <w:i/>
                <w:iCs/>
                <w:sz w:val="24"/>
              </w:rPr>
              <w:t xml:space="preserve">- Tổng diện tích các tầng nổi kể cả mái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i/>
                <w:iCs/>
                <w:sz w:val="24"/>
              </w:rPr>
            </w:pPr>
            <w:r>
              <w:rPr>
                <w:rFonts w:ascii="Tahoma" w:hAnsi="Tahoma" w:cs="Tahoma"/>
                <w:i/>
                <w:iCs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i/>
                <w:iCs/>
                <w:sz w:val="24"/>
              </w:rPr>
            </w:pPr>
            <w:r>
              <w:rPr>
                <w:rFonts w:ascii="Tahoma" w:hAnsi="Tahoma" w:cs="Tahoma"/>
                <w:i/>
                <w:iCs/>
                <w:sz w:val="24"/>
              </w:rPr>
              <w:t xml:space="preserve">                       8,802.0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2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Tổng mức đầu tư: tính theo suất vốn đầu tư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VNĐ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2.1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Chi phí xây dựng Tầng hầm (1 tầng)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15,584,845,262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Đơn giá theo suất vốn đầu tư năm 2020 sau điều chỉnh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10,623,616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Đơn giá theo suất vốn đầu tư năm 2020: </w:t>
            </w:r>
            <w:r>
              <w:rPr>
                <w:rFonts w:ascii="Tahoma" w:hAnsi="Tahoma" w:cs="Tahoma"/>
                <w:b/>
                <w:bCs/>
                <w:sz w:val="24"/>
              </w:rPr>
              <w:t>S</w:t>
            </w:r>
            <w:r>
              <w:rPr>
                <w:rFonts w:ascii="Tahoma" w:hAnsi="Tahoma" w:cs="Tahoma"/>
                <w:b/>
                <w:bCs/>
                <w:sz w:val="24"/>
                <w:vertAlign w:val="subscrip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9,935,000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Hệ số điều chỉnh </w:t>
            </w:r>
            <w:r>
              <w:rPr>
                <w:rFonts w:ascii="Tahoma" w:hAnsi="Tahoma" w:cs="Tahoma"/>
                <w:b/>
                <w:bCs/>
                <w:sz w:val="24"/>
              </w:rPr>
              <w:t>K</w:t>
            </w:r>
            <w:r>
              <w:rPr>
                <w:rFonts w:ascii="Tahoma" w:hAnsi="Tahoma" w:cs="Tahoma"/>
                <w:b/>
                <w:bCs/>
                <w:sz w:val="24"/>
                <w:vertAlign w:val="subscript"/>
              </w:rPr>
              <w:t xml:space="preserve">đc1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NA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Hệ số điều chỉnh </w:t>
            </w:r>
            <w:r>
              <w:rPr>
                <w:rFonts w:ascii="Tahoma" w:hAnsi="Tahoma" w:cs="Tahoma"/>
                <w:b/>
                <w:bCs/>
                <w:sz w:val="24"/>
              </w:rPr>
              <w:t>K</w:t>
            </w:r>
            <w:r>
              <w:rPr>
                <w:rFonts w:ascii="Tahoma" w:hAnsi="Tahoma" w:cs="Tahoma"/>
                <w:b/>
                <w:bCs/>
                <w:sz w:val="24"/>
                <w:vertAlign w:val="subscript"/>
              </w:rPr>
              <w:t xml:space="preserve">đc2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0.87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+ Tỷ số diện tích giữa đất xây tầng hầm và đất để xây tầng nổi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2.500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Đơn giá đầu tư sau điều chỉnh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 Tổng Diện tích tầng hầm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1,467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 Diện tích phần hầm theo chỉ giới xây dựng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652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Diện tích phần hầm mở rộng thêm: </w:t>
            </w:r>
            <w:r>
              <w:rPr>
                <w:rFonts w:ascii="Tahoma" w:hAnsi="Tahoma" w:cs="Tahoma"/>
                <w:b/>
                <w:bCs/>
                <w:sz w:val="24"/>
              </w:rPr>
              <w:t>N</w:t>
            </w:r>
            <w:r>
              <w:rPr>
                <w:rFonts w:ascii="Tahoma" w:hAnsi="Tahoma" w:cs="Tahoma"/>
                <w:b/>
                <w:bCs/>
                <w:sz w:val="24"/>
                <w:vertAlign w:val="subscript"/>
              </w:rPr>
              <w:t>htt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815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Tổng Diện tích tầng hầm và tầng nổi : </w:t>
            </w:r>
            <w:r>
              <w:rPr>
                <w:rFonts w:ascii="Tahoma" w:hAnsi="Tahoma" w:cs="Tahoma"/>
                <w:b/>
                <w:bCs/>
                <w:sz w:val="24"/>
              </w:rPr>
              <w:t>N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10,269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2.2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Chi phí xây dựng các Tầng nổi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87,447,870,000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Đơn giá theo suất vốn đầu tư năm 2020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+ Số tầng nổi (10-15) tầng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9,935,000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Tổng diện tích các tầng nổi kể cả mái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8,802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2.3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 Các chi phí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88,181,314,305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2.3.1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 Tiền đất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48,900,000,000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+ Đơn giá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30,000,000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+ Tổng diện tích đất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1,630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2.3.2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Tổng Lãi vay với lãi suất i = 9.8%/ năm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5,345,252,950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+ Lãi vay năm thứ 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+ Vay 0% * (Xây dựng hầm + Các tầng nổi+Tiền đất 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+ Lãi suất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%/năm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0.098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+ Lãi vay năm thứ 2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2,672,626,475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+ Vay 20% * (Xây dựng hầm + Các tầng nổi+Tiền đất 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27,271,698,723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+ Lãi suất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%/năm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0.098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+ Lãi vay năm thứ 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2,672,626,475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+ Vay 20% * (Xây dựng hầm + Các tầng nổi+Tiền đất 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27,271,698,723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+ Lãi suất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%/năm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0.098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2.3.3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 Dự phòng phí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33,936,061,355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2.3.3.1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Do khối lượng công việc chưa lường trước được: </w:t>
            </w:r>
            <w:r>
              <w:rPr>
                <w:b/>
                <w:bCs/>
                <w:sz w:val="24"/>
              </w:rPr>
              <w:t>G</w:t>
            </w:r>
            <w:r>
              <w:rPr>
                <w:b/>
                <w:bCs/>
                <w:sz w:val="24"/>
                <w:vertAlign w:val="superscript"/>
              </w:rPr>
              <w:t>1</w:t>
            </w:r>
            <w:r>
              <w:rPr>
                <w:b/>
                <w:bCs/>
                <w:sz w:val="24"/>
                <w:vertAlign w:val="subscript"/>
              </w:rPr>
              <w:t>DP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10%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15,727,796,821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2.3.3.2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Do trượt giá </w:t>
            </w:r>
            <w:r>
              <w:rPr>
                <w:b/>
                <w:bCs/>
                <w:sz w:val="24"/>
              </w:rPr>
              <w:t>G</w:t>
            </w:r>
            <w:r>
              <w:rPr>
                <w:b/>
                <w:bCs/>
                <w:sz w:val="24"/>
                <w:vertAlign w:val="superscript"/>
              </w:rPr>
              <w:t>2</w:t>
            </w:r>
            <w:r>
              <w:rPr>
                <w:b/>
                <w:bCs/>
                <w:sz w:val="24"/>
                <w:vertAlign w:val="subscript"/>
              </w:rPr>
              <w:t>DP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18,208,264,534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- Tổng vốn đầu tư qua các năm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94,366,780,927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31,455,593,642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62,911,187,285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62,911,187,285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- Lãi vay qua các năm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5,345,252,950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2,672,626,475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2,672,626,475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- Chỉ số giá xây dựng công trình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Năm 2017: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Năm 2018: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Năm 2019: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Năm 2020: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- Mức độ trượt giá bình quân </w:t>
            </w:r>
            <w:r>
              <w:rPr>
                <w:b/>
                <w:bCs/>
                <w:sz w:val="24"/>
              </w:rPr>
              <w:t>I</w:t>
            </w:r>
            <w:r>
              <w:rPr>
                <w:b/>
                <w:bCs/>
                <w:sz w:val="24"/>
                <w:vertAlign w:val="subscript"/>
              </w:rPr>
              <w:t>xdbq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Năm 2020/2019: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Năm 2019/2018: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Năm 2018/2017: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b/>
                <w:bCs/>
                <w:sz w:val="24"/>
              </w:rPr>
              <w:t>I</w:t>
            </w:r>
            <w:r>
              <w:rPr>
                <w:b/>
                <w:bCs/>
                <w:sz w:val="24"/>
                <w:vertAlign w:val="subscript"/>
              </w:rPr>
              <w:t>xdbq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- Mức độ biến động về giá </w:t>
            </w:r>
            <w:r>
              <w:rPr>
                <w:rFonts w:ascii="Symbol" w:hAnsi="Symbol"/>
                <w:sz w:val="24"/>
              </w:rPr>
              <w:t>D</w:t>
            </w:r>
            <w:r>
              <w:rPr>
                <w:b/>
                <w:bCs/>
                <w:sz w:val="24"/>
              </w:rPr>
              <w:t>I</w:t>
            </w:r>
            <w:r>
              <w:rPr>
                <w:b/>
                <w:bCs/>
                <w:sz w:val="24"/>
                <w:vertAlign w:val="subscript"/>
              </w:rPr>
              <w:t>xdbq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rFonts w:ascii="Symbol" w:hAnsi="Symbol"/>
                <w:sz w:val="24"/>
              </w:rPr>
              <w:t>D</w:t>
            </w:r>
            <w:r>
              <w:rPr>
                <w:b/>
                <w:bCs/>
                <w:sz w:val="24"/>
              </w:rPr>
              <w:t>I</w:t>
            </w:r>
            <w:r>
              <w:rPr>
                <w:b/>
                <w:bCs/>
                <w:sz w:val="24"/>
                <w:vertAlign w:val="subscript"/>
              </w:rPr>
              <w:t>xdbq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Trượt giá từng năm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1,657,681,488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6,516,330,171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+ Năm thứ thứ 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10,034,252,874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TỔNG MỨC ĐẦU TƯ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         191,214,029,567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bottom"/>
          </w:tcPr>
          <w:p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Tính hiệu quả dự án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noWrap/>
            <w:vAlign w:val="center"/>
          </w:tcPr>
          <w:p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3.1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Đầu tư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191,214,029,567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Năm thứ 1 (2022)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38,242,805,913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Năm thứ 2 (2023)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76,485,611,827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Năm thứ 3 (2024)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76,485,611,827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3.2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Doanh thu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185,820,000,000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 Đơn giá bán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VNĐ/m2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38,000,000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 Diện tích bán được (F</w:t>
            </w:r>
            <w:r>
              <w:rPr>
                <w:rFonts w:ascii="Tahoma" w:hAnsi="Tahoma" w:cs="Tahoma"/>
                <w:sz w:val="24"/>
                <w:vertAlign w:val="subscript"/>
              </w:rPr>
              <w:t>ở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4,890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Năm thứ 1 (2022)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37,164,000,000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Năm thứ 2 (2023)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92,910,000,000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Năm thứ 3 (2024)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55,746,000,000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3.3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Suất chiết tính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Vốn tự có 20%, mức lãi suất 5.5%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2,103,354,325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Vốn thu từ khách hàng 40%, mức lãi suất 5.5%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4,206,708,650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Vốn vay ngân hàng 40%, mức lãi suất 9.8%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7,495,589,959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3.4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Hiệu quả dự án tính bằng NPV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 (Doanh thu - chi phí ) của năm thứ 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(1,078,805,913)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 (Doanh thu - chi phí ) của năm thứ 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16,424,388,173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 (Doanh thu - chi phí ) của năm thứ 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VNĐ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(20,739,611,827)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NPV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           (3,544,977,432)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FF0000"/>
                <w:szCs w:val="26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color w:val="FF0000"/>
                <w:sz w:val="24"/>
              </w:rPr>
            </w:pPr>
            <w:r>
              <w:rPr>
                <w:rFonts w:ascii="Tahoma" w:hAnsi="Tahoma" w:cs="Tahoma"/>
                <w:color w:val="FF0000"/>
                <w:sz w:val="24"/>
              </w:rPr>
              <w:t xml:space="preserve">=&gt; Dự án không đáng giá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điểm </w:t>
            </w:r>
          </w:p>
        </w:tc>
      </w:tr>
    </w:tbl>
    <w:p>
      <w:pPr>
        <w:spacing w:after="160" w:line="259" w:lineRule="auto"/>
      </w:pPr>
    </w:p>
    <w:p>
      <w:pPr>
        <w:tabs>
          <w:tab w:val="center" w:pos="2835"/>
          <w:tab w:val="center" w:pos="7655"/>
        </w:tabs>
        <w:spacing w:before="120"/>
        <w:ind w:left="142"/>
      </w:pPr>
    </w:p>
    <w:p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>
        <w:rPr>
          <w:i/>
          <w:iCs/>
        </w:rPr>
        <w:t>Ngày biên soạn:  25.10.2021</w:t>
      </w:r>
      <w:r>
        <w:rPr>
          <w:i/>
          <w:iCs/>
        </w:rPr>
        <w:tab/>
      </w:r>
    </w:p>
    <w:p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 xml:space="preserve">Giảng viên biên soạn đề thi: ThS. Nguyễn Phi Khanh </w:t>
      </w:r>
      <w:r>
        <w:tab/>
      </w:r>
    </w:p>
    <w:p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i/>
          <w:iCs/>
        </w:rPr>
        <w:t xml:space="preserve">Ngày kiểm duyệt:  </w:t>
      </w:r>
    </w:p>
    <w:p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Bộ môn kiểm duyệt đề thi:</w:t>
      </w:r>
      <w:r>
        <w:rPr>
          <w:rFonts w:hint="default"/>
          <w:b/>
          <w:bCs/>
          <w:lang w:val="en-US"/>
        </w:rPr>
        <w:t xml:space="preserve">   </w:t>
      </w:r>
      <w:bookmarkStart w:id="0" w:name="_GoBack"/>
      <w:bookmarkEnd w:id="0"/>
      <w:r>
        <w:rPr>
          <w:rFonts w:hint="default"/>
          <w:b/>
          <w:bCs/>
          <w:lang w:val="en-US"/>
        </w:rPr>
        <w:t>PGS TS. Ngô Quang Tường</w:t>
      </w:r>
    </w:p>
    <w:p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bCs/>
          <w:szCs w:val="26"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  <w:szCs w:val="26"/>
        </w:rPr>
        <w:t>gửi về Trung tâm Khảo thí qua email:</w:t>
      </w:r>
      <w:r>
        <w:rPr>
          <w:b/>
          <w:szCs w:val="26"/>
        </w:rPr>
        <w:t xml:space="preserve"> </w:t>
      </w:r>
      <w:r>
        <w:fldChar w:fldCharType="begin"/>
      </w:r>
      <w:r>
        <w:instrText xml:space="preserve"> HYPERLINK "mailto:khaothivanlang@gmail.com" </w:instrText>
      </w:r>
      <w:r>
        <w:fldChar w:fldCharType="separate"/>
      </w:r>
      <w:r>
        <w:rPr>
          <w:rStyle w:val="8"/>
          <w:rFonts w:eastAsiaTheme="majorEastAsia"/>
          <w:szCs w:val="26"/>
        </w:rPr>
        <w:t>khaothivanlang@gmail.com</w:t>
      </w:r>
      <w:r>
        <w:rPr>
          <w:rStyle w:val="8"/>
          <w:rFonts w:eastAsiaTheme="majorEastAsia"/>
          <w:szCs w:val="26"/>
        </w:rPr>
        <w:fldChar w:fldCharType="end"/>
      </w:r>
      <w:r>
        <w:rPr>
          <w:b/>
          <w:bCs/>
          <w:color w:val="000000" w:themeColor="text1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>file word và file pdf (được đặt password trên 1 file nén/lần gửi) và nhắn tin password + họ tên GV gửi qua Số điện thoại Thầy Phan Nhất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>
      <w:headerReference r:id="rId5" w:type="default"/>
      <w:pgSz w:w="11907" w:h="16840"/>
      <w:pgMar w:top="1134" w:right="964" w:bottom="1134" w:left="1418" w:header="567" w:footer="23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b/>
        <w:bCs/>
      </w:rPr>
    </w:pPr>
    <w:r>
      <w:rPr>
        <w:b/>
        <w:bCs/>
      </w:rPr>
      <w:t>BM-005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F2645"/>
    <w:multiLevelType w:val="multilevel"/>
    <w:tmpl w:val="3EDF2645"/>
    <w:lvl w:ilvl="0" w:tentative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04F03"/>
    <w:rsid w:val="000101B3"/>
    <w:rsid w:val="00025F6A"/>
    <w:rsid w:val="00075768"/>
    <w:rsid w:val="000761FE"/>
    <w:rsid w:val="00076A35"/>
    <w:rsid w:val="00095344"/>
    <w:rsid w:val="0009683B"/>
    <w:rsid w:val="001168F7"/>
    <w:rsid w:val="0013547C"/>
    <w:rsid w:val="00141901"/>
    <w:rsid w:val="00170E32"/>
    <w:rsid w:val="00225D3B"/>
    <w:rsid w:val="002260E2"/>
    <w:rsid w:val="00250BA8"/>
    <w:rsid w:val="002912EF"/>
    <w:rsid w:val="00296805"/>
    <w:rsid w:val="002C2161"/>
    <w:rsid w:val="002D5E96"/>
    <w:rsid w:val="00364A6F"/>
    <w:rsid w:val="003677F8"/>
    <w:rsid w:val="00384C82"/>
    <w:rsid w:val="003A1ECE"/>
    <w:rsid w:val="003D5BFA"/>
    <w:rsid w:val="003F7241"/>
    <w:rsid w:val="00400F29"/>
    <w:rsid w:val="00403868"/>
    <w:rsid w:val="004418BA"/>
    <w:rsid w:val="004A5FD0"/>
    <w:rsid w:val="004C0CBC"/>
    <w:rsid w:val="004C77A7"/>
    <w:rsid w:val="0050092B"/>
    <w:rsid w:val="005046D7"/>
    <w:rsid w:val="005538CA"/>
    <w:rsid w:val="005C343D"/>
    <w:rsid w:val="005D713C"/>
    <w:rsid w:val="00635F5C"/>
    <w:rsid w:val="00657191"/>
    <w:rsid w:val="00664FCE"/>
    <w:rsid w:val="006C3E61"/>
    <w:rsid w:val="006C47FD"/>
    <w:rsid w:val="006E30E0"/>
    <w:rsid w:val="00716EC8"/>
    <w:rsid w:val="0072312D"/>
    <w:rsid w:val="00750DEE"/>
    <w:rsid w:val="007642AF"/>
    <w:rsid w:val="007A5692"/>
    <w:rsid w:val="007C0E85"/>
    <w:rsid w:val="007D3285"/>
    <w:rsid w:val="007D6AC3"/>
    <w:rsid w:val="007FF01A"/>
    <w:rsid w:val="008274FF"/>
    <w:rsid w:val="00835BDA"/>
    <w:rsid w:val="008B3402"/>
    <w:rsid w:val="008B6183"/>
    <w:rsid w:val="008C7EFD"/>
    <w:rsid w:val="00907007"/>
    <w:rsid w:val="009367C7"/>
    <w:rsid w:val="00952357"/>
    <w:rsid w:val="009862B8"/>
    <w:rsid w:val="009A2AF1"/>
    <w:rsid w:val="009B023B"/>
    <w:rsid w:val="009B69C6"/>
    <w:rsid w:val="009C3BD5"/>
    <w:rsid w:val="009F67A3"/>
    <w:rsid w:val="00A04E8E"/>
    <w:rsid w:val="00A64487"/>
    <w:rsid w:val="00A66D58"/>
    <w:rsid w:val="00A97788"/>
    <w:rsid w:val="00AA1239"/>
    <w:rsid w:val="00AD50B8"/>
    <w:rsid w:val="00B109ED"/>
    <w:rsid w:val="00B407F1"/>
    <w:rsid w:val="00B468A2"/>
    <w:rsid w:val="00B86B5F"/>
    <w:rsid w:val="00BD7493"/>
    <w:rsid w:val="00BE2D28"/>
    <w:rsid w:val="00BF5A06"/>
    <w:rsid w:val="00C6114D"/>
    <w:rsid w:val="00C72B4C"/>
    <w:rsid w:val="00C94785"/>
    <w:rsid w:val="00CA34AB"/>
    <w:rsid w:val="00CA377C"/>
    <w:rsid w:val="00CB58C5"/>
    <w:rsid w:val="00CE27BF"/>
    <w:rsid w:val="00CE3C20"/>
    <w:rsid w:val="00CE7015"/>
    <w:rsid w:val="00D11C4E"/>
    <w:rsid w:val="00D204EB"/>
    <w:rsid w:val="00D53E82"/>
    <w:rsid w:val="00DA1B0F"/>
    <w:rsid w:val="00DA7163"/>
    <w:rsid w:val="00DC5876"/>
    <w:rsid w:val="00DE17E5"/>
    <w:rsid w:val="00DE7F8D"/>
    <w:rsid w:val="00E557EC"/>
    <w:rsid w:val="00E7616C"/>
    <w:rsid w:val="00E84FEF"/>
    <w:rsid w:val="00E850EE"/>
    <w:rsid w:val="00E90C5B"/>
    <w:rsid w:val="00EC1180"/>
    <w:rsid w:val="00ED6F8A"/>
    <w:rsid w:val="00EF5970"/>
    <w:rsid w:val="00F13CA5"/>
    <w:rsid w:val="00F23F7C"/>
    <w:rsid w:val="00F538A3"/>
    <w:rsid w:val="00F74100"/>
    <w:rsid w:val="00F76816"/>
    <w:rsid w:val="00F95BFB"/>
    <w:rsid w:val="00FB4792"/>
    <w:rsid w:val="00FD6AF8"/>
    <w:rsid w:val="0F3EB398"/>
    <w:rsid w:val="2A43552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597" w:themeColor="accent1" w:themeShade="BF"/>
      <w:sz w:val="22"/>
      <w:szCs w:val="32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color w:val="2F5597" w:themeColor="accent1" w:themeShade="BF"/>
      <w:szCs w:val="2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4"/>
    <w:unhideWhenUsed/>
    <w:uiPriority w:val="99"/>
    <w:rPr>
      <w:color w:val="0000FF"/>
      <w:u w:val="single"/>
    </w:rPr>
  </w:style>
  <w:style w:type="paragraph" w:styleId="9">
    <w:name w:val="Normal (Web)"/>
    <w:basedOn w:val="1"/>
    <w:uiPriority w:val="99"/>
    <w:pPr>
      <w:spacing w:before="100" w:beforeAutospacing="1" w:after="100" w:afterAutospacing="1"/>
    </w:pPr>
    <w:rPr>
      <w:color w:val="000000"/>
      <w:sz w:val="24"/>
    </w:rPr>
  </w:style>
  <w:style w:type="table" w:styleId="10">
    <w:name w:val="Table Grid"/>
    <w:basedOn w:val="5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ing 1 Char"/>
    <w:basedOn w:val="4"/>
    <w:link w:val="2"/>
    <w:qFormat/>
    <w:uiPriority w:val="0"/>
    <w:rPr>
      <w:rFonts w:eastAsiaTheme="majorEastAsia" w:cstheme="majorBidi"/>
      <w:b/>
      <w:color w:val="2F5597" w:themeColor="accent1" w:themeShade="BF"/>
      <w:szCs w:val="32"/>
    </w:rPr>
  </w:style>
  <w:style w:type="character" w:customStyle="1" w:styleId="12">
    <w:name w:val="Heading 2 Char"/>
    <w:basedOn w:val="4"/>
    <w:link w:val="3"/>
    <w:semiHidden/>
    <w:uiPriority w:val="9"/>
    <w:rPr>
      <w:rFonts w:ascii="Times New Roman" w:hAnsi="Times New Roman" w:eastAsiaTheme="majorEastAsia" w:cstheme="majorBidi"/>
      <w:color w:val="2F5597" w:themeColor="accent1" w:themeShade="BF"/>
      <w:sz w:val="26"/>
    </w:rPr>
  </w:style>
  <w:style w:type="character" w:customStyle="1" w:styleId="13">
    <w:name w:val="Header Char"/>
    <w:basedOn w:val="4"/>
    <w:link w:val="7"/>
    <w:uiPriority w:val="99"/>
    <w:rPr>
      <w:rFonts w:ascii="Times New Roman" w:hAnsi="Times New Roman" w:eastAsia="Times New Roman" w:cs="Times New Roman"/>
      <w:sz w:val="26"/>
      <w:szCs w:val="24"/>
    </w:rPr>
  </w:style>
  <w:style w:type="character" w:customStyle="1" w:styleId="14">
    <w:name w:val="Footer Char"/>
    <w:basedOn w:val="4"/>
    <w:link w:val="6"/>
    <w:uiPriority w:val="99"/>
    <w:rPr>
      <w:rFonts w:ascii="Times New Roman" w:hAnsi="Times New Roman" w:eastAsia="Times New Roman" w:cs="Times New Roman"/>
      <w:sz w:val="26"/>
      <w:szCs w:val="24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eop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1156</Words>
  <Characters>6592</Characters>
  <Lines>54</Lines>
  <Paragraphs>15</Paragraphs>
  <TotalTime>0</TotalTime>
  <ScaleCrop>false</ScaleCrop>
  <LinksUpToDate>false</LinksUpToDate>
  <CharactersWithSpaces>7733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2021-11-13T12:20:00Z</dcterms:created>
  <dc:creator>Lê Quốc Nam - Phòng KT&amp;DBCL</dc:creator>
  <cp:lastModifiedBy>ASUS</cp:lastModifiedBy>
  <dcterms:modified xsi:type="dcterms:W3CDTF">2021-11-18T01:17:59Z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C9B20A5141BF4F4D8390F5F1EE05D5E7</vt:lpwstr>
  </property>
</Properties>
</file>